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967" w:rsidRDefault="00A96942">
      <w:r>
        <w:rPr>
          <w:noProof/>
        </w:rPr>
        <w:drawing>
          <wp:inline distT="0" distB="0" distL="0" distR="0" wp14:anchorId="3413C06C" wp14:editId="7A7063E0">
            <wp:extent cx="793115" cy="360680"/>
            <wp:effectExtent l="0" t="0" r="6985" b="127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3115" cy="360680"/>
                    </a:xfrm>
                    <a:prstGeom prst="rect">
                      <a:avLst/>
                    </a:prstGeom>
                    <a:noFill/>
                  </pic:spPr>
                </pic:pic>
              </a:graphicData>
            </a:graphic>
          </wp:inline>
        </w:drawing>
      </w:r>
    </w:p>
    <w:p w:rsidR="00146C7F" w:rsidRPr="008C69E7" w:rsidRDefault="00146C7F" w:rsidP="00C72E5B">
      <w:pPr>
        <w:jc w:val="center"/>
        <w:rPr>
          <w:color w:val="1F497D" w:themeColor="text2"/>
        </w:rPr>
      </w:pPr>
      <w:r w:rsidRPr="009B3BCD">
        <w:rPr>
          <w:color w:val="1F497D" w:themeColor="text2"/>
        </w:rPr>
        <w:t>AAUW-New Mexico 2014 Elections:</w:t>
      </w:r>
      <w:r w:rsidR="00C72E5B">
        <w:rPr>
          <w:color w:val="1F497D" w:themeColor="text2"/>
        </w:rPr>
        <w:t xml:space="preserve"> </w:t>
      </w:r>
      <w:r>
        <w:rPr>
          <w:color w:val="1F497D" w:themeColor="text2"/>
        </w:rPr>
        <w:t>Congressional and Senate</w:t>
      </w:r>
      <w:r w:rsidRPr="009B3BCD">
        <w:rPr>
          <w:color w:val="1F497D" w:themeColor="text2"/>
        </w:rPr>
        <w:t xml:space="preserve"> Candidate BINGO Card</w:t>
      </w:r>
      <w:r>
        <w:tab/>
      </w:r>
    </w:p>
    <w:p w:rsidR="00146C7F" w:rsidRPr="00AF61EB" w:rsidRDefault="00146C7F" w:rsidP="00146C7F">
      <w:pPr>
        <w:tabs>
          <w:tab w:val="left" w:pos="6300"/>
        </w:tabs>
        <w:jc w:val="center"/>
        <w:rPr>
          <w:b/>
        </w:rPr>
      </w:pPr>
      <w:r w:rsidRPr="00AF61EB">
        <w:rPr>
          <w:b/>
        </w:rPr>
        <w:t xml:space="preserve">Play “Advocacy BINGO” while you watch NM </w:t>
      </w:r>
      <w:r>
        <w:rPr>
          <w:b/>
        </w:rPr>
        <w:t>congressional and senate</w:t>
      </w:r>
      <w:r w:rsidRPr="00AF61EB">
        <w:rPr>
          <w:b/>
        </w:rPr>
        <w:t xml:space="preserve"> candidates debate!</w:t>
      </w:r>
    </w:p>
    <w:p w:rsidR="00146C7F" w:rsidRDefault="00146C7F" w:rsidP="00146C7F">
      <w:pPr>
        <w:tabs>
          <w:tab w:val="left" w:pos="6300"/>
        </w:tabs>
      </w:pPr>
      <w:r>
        <w:t>Print copies of the BINGO card for each congressional and senate candidate in the debate and score their answers using the guidelines below.</w:t>
      </w:r>
    </w:p>
    <w:tbl>
      <w:tblPr>
        <w:tblStyle w:val="TableGrid"/>
        <w:tblW w:w="0" w:type="auto"/>
        <w:tblLook w:val="04A0" w:firstRow="1" w:lastRow="0" w:firstColumn="1" w:lastColumn="0" w:noHBand="0" w:noVBand="1"/>
      </w:tblPr>
      <w:tblGrid>
        <w:gridCol w:w="1854"/>
        <w:gridCol w:w="1858"/>
        <w:gridCol w:w="1871"/>
        <w:gridCol w:w="1910"/>
        <w:gridCol w:w="2083"/>
      </w:tblGrid>
      <w:tr w:rsidR="007C5222" w:rsidTr="005C3E21">
        <w:tc>
          <w:tcPr>
            <w:tcW w:w="1854" w:type="dxa"/>
          </w:tcPr>
          <w:p w:rsidR="007C5222" w:rsidRDefault="007C5222" w:rsidP="00304CC9">
            <w:pPr>
              <w:tabs>
                <w:tab w:val="left" w:pos="6300"/>
              </w:tabs>
              <w:jc w:val="center"/>
            </w:pPr>
            <w:r>
              <w:t>B</w:t>
            </w:r>
          </w:p>
        </w:tc>
        <w:tc>
          <w:tcPr>
            <w:tcW w:w="1858" w:type="dxa"/>
          </w:tcPr>
          <w:p w:rsidR="007C5222" w:rsidRDefault="007C5222" w:rsidP="00304CC9">
            <w:pPr>
              <w:tabs>
                <w:tab w:val="left" w:pos="6300"/>
              </w:tabs>
              <w:jc w:val="center"/>
            </w:pPr>
            <w:r>
              <w:t>I</w:t>
            </w:r>
          </w:p>
        </w:tc>
        <w:tc>
          <w:tcPr>
            <w:tcW w:w="1871" w:type="dxa"/>
          </w:tcPr>
          <w:p w:rsidR="007C5222" w:rsidRDefault="007C5222" w:rsidP="00304CC9">
            <w:pPr>
              <w:tabs>
                <w:tab w:val="left" w:pos="6300"/>
              </w:tabs>
              <w:jc w:val="center"/>
            </w:pPr>
            <w:r>
              <w:t>N</w:t>
            </w:r>
          </w:p>
        </w:tc>
        <w:tc>
          <w:tcPr>
            <w:tcW w:w="1910" w:type="dxa"/>
          </w:tcPr>
          <w:p w:rsidR="007C5222" w:rsidRDefault="007C5222" w:rsidP="00304CC9">
            <w:pPr>
              <w:tabs>
                <w:tab w:val="left" w:pos="6300"/>
              </w:tabs>
              <w:jc w:val="center"/>
            </w:pPr>
            <w:r>
              <w:t>G</w:t>
            </w:r>
          </w:p>
        </w:tc>
        <w:tc>
          <w:tcPr>
            <w:tcW w:w="2083" w:type="dxa"/>
          </w:tcPr>
          <w:p w:rsidR="007C5222" w:rsidRDefault="007C5222" w:rsidP="00304CC9">
            <w:pPr>
              <w:tabs>
                <w:tab w:val="left" w:pos="6300"/>
              </w:tabs>
              <w:jc w:val="center"/>
            </w:pPr>
            <w:r>
              <w:t>O</w:t>
            </w:r>
          </w:p>
        </w:tc>
      </w:tr>
      <w:tr w:rsidR="00EE0B43" w:rsidTr="005C3E21">
        <w:trPr>
          <w:trHeight w:val="1178"/>
        </w:trPr>
        <w:tc>
          <w:tcPr>
            <w:tcW w:w="1854" w:type="dxa"/>
            <w:shd w:val="clear" w:color="auto" w:fill="C6D9F1" w:themeFill="text2" w:themeFillTint="33"/>
          </w:tcPr>
          <w:p w:rsidR="007C5222" w:rsidRDefault="007C5222" w:rsidP="007C5222">
            <w:pPr>
              <w:tabs>
                <w:tab w:val="left" w:pos="6300"/>
              </w:tabs>
              <w:jc w:val="center"/>
            </w:pPr>
            <w:r>
              <w:t>Child care access/early childhood education</w:t>
            </w:r>
          </w:p>
        </w:tc>
        <w:tc>
          <w:tcPr>
            <w:tcW w:w="1858" w:type="dxa"/>
            <w:shd w:val="clear" w:color="auto" w:fill="C6D9F1" w:themeFill="text2" w:themeFillTint="33"/>
          </w:tcPr>
          <w:p w:rsidR="007C5222" w:rsidRDefault="007C5222" w:rsidP="007C5222">
            <w:pPr>
              <w:tabs>
                <w:tab w:val="left" w:pos="6300"/>
              </w:tabs>
              <w:jc w:val="center"/>
            </w:pPr>
            <w:r>
              <w:t>Strengthen domestic violence laws</w:t>
            </w:r>
          </w:p>
        </w:tc>
        <w:tc>
          <w:tcPr>
            <w:tcW w:w="1871" w:type="dxa"/>
            <w:shd w:val="clear" w:color="auto" w:fill="C6D9F1" w:themeFill="text2" w:themeFillTint="33"/>
          </w:tcPr>
          <w:p w:rsidR="007C5222" w:rsidRDefault="007C5222" w:rsidP="007C5222">
            <w:pPr>
              <w:tabs>
                <w:tab w:val="left" w:pos="6300"/>
              </w:tabs>
              <w:jc w:val="center"/>
            </w:pPr>
            <w:r>
              <w:t>Access to retirement savings</w:t>
            </w:r>
          </w:p>
        </w:tc>
        <w:tc>
          <w:tcPr>
            <w:tcW w:w="1910" w:type="dxa"/>
            <w:shd w:val="clear" w:color="auto" w:fill="C6D9F1" w:themeFill="text2" w:themeFillTint="33"/>
          </w:tcPr>
          <w:p w:rsidR="007C5222" w:rsidRPr="007C5222" w:rsidRDefault="007C5222" w:rsidP="007C5222">
            <w:pPr>
              <w:jc w:val="center"/>
            </w:pPr>
            <w:r>
              <w:t>Protect aging Americans</w:t>
            </w:r>
          </w:p>
        </w:tc>
        <w:tc>
          <w:tcPr>
            <w:tcW w:w="2083" w:type="dxa"/>
            <w:shd w:val="clear" w:color="auto" w:fill="C6D9F1" w:themeFill="text2" w:themeFillTint="33"/>
          </w:tcPr>
          <w:p w:rsidR="007C5222" w:rsidRDefault="007C5222" w:rsidP="007C5222">
            <w:pPr>
              <w:tabs>
                <w:tab w:val="left" w:pos="6300"/>
              </w:tabs>
              <w:jc w:val="center"/>
            </w:pPr>
            <w:r>
              <w:t>Safe water and food sources</w:t>
            </w:r>
          </w:p>
        </w:tc>
      </w:tr>
      <w:tr w:rsidR="00EE0B43" w:rsidTr="005C3E21">
        <w:tc>
          <w:tcPr>
            <w:tcW w:w="1854" w:type="dxa"/>
            <w:shd w:val="clear" w:color="auto" w:fill="C6D9F1" w:themeFill="text2" w:themeFillTint="33"/>
          </w:tcPr>
          <w:p w:rsidR="007C5222" w:rsidRDefault="007C5222" w:rsidP="007C5222">
            <w:pPr>
              <w:tabs>
                <w:tab w:val="left" w:pos="6300"/>
              </w:tabs>
            </w:pPr>
            <w:r>
              <w:t>Renewable energy</w:t>
            </w:r>
          </w:p>
        </w:tc>
        <w:tc>
          <w:tcPr>
            <w:tcW w:w="1858" w:type="dxa"/>
            <w:shd w:val="clear" w:color="auto" w:fill="FBD4B4" w:themeFill="accent6" w:themeFillTint="66"/>
          </w:tcPr>
          <w:p w:rsidR="007C5222" w:rsidRDefault="007C5222" w:rsidP="007C5222">
            <w:pPr>
              <w:tabs>
                <w:tab w:val="left" w:pos="6300"/>
              </w:tabs>
              <w:jc w:val="center"/>
            </w:pPr>
            <w:r>
              <w:t>Protect voter rights</w:t>
            </w:r>
          </w:p>
        </w:tc>
        <w:tc>
          <w:tcPr>
            <w:tcW w:w="1871" w:type="dxa"/>
            <w:shd w:val="clear" w:color="auto" w:fill="FBD4B4" w:themeFill="accent6" w:themeFillTint="66"/>
          </w:tcPr>
          <w:p w:rsidR="007C5222" w:rsidRDefault="007C5222" w:rsidP="007C5222">
            <w:pPr>
              <w:tabs>
                <w:tab w:val="left" w:pos="6300"/>
              </w:tabs>
              <w:jc w:val="center"/>
            </w:pPr>
            <w:r>
              <w:t>Close the wage gap</w:t>
            </w:r>
          </w:p>
        </w:tc>
        <w:tc>
          <w:tcPr>
            <w:tcW w:w="1910" w:type="dxa"/>
            <w:shd w:val="clear" w:color="auto" w:fill="FBD4B4" w:themeFill="accent6" w:themeFillTint="66"/>
          </w:tcPr>
          <w:p w:rsidR="007C5222" w:rsidRDefault="007C5222" w:rsidP="007C5222">
            <w:pPr>
              <w:tabs>
                <w:tab w:val="left" w:pos="6300"/>
              </w:tabs>
              <w:jc w:val="center"/>
            </w:pPr>
            <w:r>
              <w:t>Title IX</w:t>
            </w:r>
          </w:p>
        </w:tc>
        <w:tc>
          <w:tcPr>
            <w:tcW w:w="2083" w:type="dxa"/>
            <w:shd w:val="clear" w:color="auto" w:fill="C6D9F1" w:themeFill="text2" w:themeFillTint="33"/>
          </w:tcPr>
          <w:p w:rsidR="007C5222" w:rsidRDefault="007C5222" w:rsidP="007C5222">
            <w:pPr>
              <w:tabs>
                <w:tab w:val="left" w:pos="6300"/>
              </w:tabs>
              <w:jc w:val="center"/>
            </w:pPr>
            <w:r>
              <w:t>Anti-bullying/safe schools</w:t>
            </w:r>
          </w:p>
        </w:tc>
      </w:tr>
      <w:tr w:rsidR="00EE0B43" w:rsidTr="005C3E21">
        <w:tc>
          <w:tcPr>
            <w:tcW w:w="1854" w:type="dxa"/>
            <w:shd w:val="clear" w:color="auto" w:fill="C6D9F1" w:themeFill="text2" w:themeFillTint="33"/>
          </w:tcPr>
          <w:p w:rsidR="007C5222" w:rsidRDefault="007C5222" w:rsidP="007C5222">
            <w:pPr>
              <w:tabs>
                <w:tab w:val="left" w:pos="6300"/>
              </w:tabs>
              <w:jc w:val="center"/>
            </w:pPr>
            <w:r>
              <w:t>Common-sense, fair budgeting</w:t>
            </w:r>
          </w:p>
        </w:tc>
        <w:tc>
          <w:tcPr>
            <w:tcW w:w="1858" w:type="dxa"/>
            <w:shd w:val="clear" w:color="auto" w:fill="FBD4B4" w:themeFill="accent6" w:themeFillTint="66"/>
          </w:tcPr>
          <w:p w:rsidR="007C5222" w:rsidRDefault="007C5222" w:rsidP="00146C7F">
            <w:pPr>
              <w:tabs>
                <w:tab w:val="left" w:pos="6300"/>
              </w:tabs>
            </w:pPr>
            <w:r>
              <w:t>Women in STEM</w:t>
            </w:r>
          </w:p>
        </w:tc>
        <w:tc>
          <w:tcPr>
            <w:tcW w:w="1871" w:type="dxa"/>
            <w:shd w:val="clear" w:color="auto" w:fill="C2D69B" w:themeFill="accent3" w:themeFillTint="99"/>
          </w:tcPr>
          <w:p w:rsidR="007C5222" w:rsidRDefault="007C5222" w:rsidP="007C5222">
            <w:pPr>
              <w:tabs>
                <w:tab w:val="left" w:pos="6300"/>
              </w:tabs>
              <w:jc w:val="center"/>
            </w:pPr>
            <w:r>
              <w:t>Women and families</w:t>
            </w:r>
          </w:p>
        </w:tc>
        <w:tc>
          <w:tcPr>
            <w:tcW w:w="1910" w:type="dxa"/>
            <w:shd w:val="clear" w:color="auto" w:fill="FBD4B4" w:themeFill="accent6" w:themeFillTint="66"/>
          </w:tcPr>
          <w:p w:rsidR="007C5222" w:rsidRDefault="007C5222" w:rsidP="007C5222">
            <w:pPr>
              <w:tabs>
                <w:tab w:val="left" w:pos="6300"/>
              </w:tabs>
              <w:jc w:val="center"/>
            </w:pPr>
            <w:r>
              <w:t>Increase living wage</w:t>
            </w:r>
          </w:p>
        </w:tc>
        <w:tc>
          <w:tcPr>
            <w:tcW w:w="2083" w:type="dxa"/>
            <w:shd w:val="clear" w:color="auto" w:fill="C6D9F1" w:themeFill="text2" w:themeFillTint="33"/>
          </w:tcPr>
          <w:p w:rsidR="007C5222" w:rsidRDefault="007C5222" w:rsidP="007C5222">
            <w:pPr>
              <w:tabs>
                <w:tab w:val="left" w:pos="6300"/>
              </w:tabs>
              <w:jc w:val="center"/>
            </w:pPr>
            <w:r>
              <w:t>Economic inequality</w:t>
            </w:r>
          </w:p>
        </w:tc>
      </w:tr>
      <w:tr w:rsidR="00EE0B43" w:rsidTr="005C3E21">
        <w:tc>
          <w:tcPr>
            <w:tcW w:w="1854" w:type="dxa"/>
            <w:shd w:val="clear" w:color="auto" w:fill="C6D9F1" w:themeFill="text2" w:themeFillTint="33"/>
          </w:tcPr>
          <w:p w:rsidR="007C5222" w:rsidRDefault="007C5222" w:rsidP="007C5222">
            <w:pPr>
              <w:tabs>
                <w:tab w:val="left" w:pos="6300"/>
              </w:tabs>
              <w:jc w:val="center"/>
            </w:pPr>
            <w:r>
              <w:t>Affordable housing</w:t>
            </w:r>
          </w:p>
        </w:tc>
        <w:tc>
          <w:tcPr>
            <w:tcW w:w="1858" w:type="dxa"/>
            <w:shd w:val="clear" w:color="auto" w:fill="FBD4B4" w:themeFill="accent6" w:themeFillTint="66"/>
          </w:tcPr>
          <w:p w:rsidR="007C5222" w:rsidRDefault="007C5222" w:rsidP="007C5222">
            <w:pPr>
              <w:tabs>
                <w:tab w:val="left" w:pos="6300"/>
              </w:tabs>
              <w:jc w:val="center"/>
            </w:pPr>
            <w:r>
              <w:t>Access to reproductive health</w:t>
            </w:r>
          </w:p>
        </w:tc>
        <w:tc>
          <w:tcPr>
            <w:tcW w:w="1871" w:type="dxa"/>
            <w:shd w:val="clear" w:color="auto" w:fill="FBD4B4" w:themeFill="accent6" w:themeFillTint="66"/>
          </w:tcPr>
          <w:p w:rsidR="007C5222" w:rsidRDefault="007C5222" w:rsidP="007C5222">
            <w:pPr>
              <w:tabs>
                <w:tab w:val="left" w:pos="6300"/>
              </w:tabs>
              <w:jc w:val="center"/>
            </w:pPr>
            <w:r>
              <w:t>Reduce student loan debt</w:t>
            </w:r>
          </w:p>
        </w:tc>
        <w:tc>
          <w:tcPr>
            <w:tcW w:w="1910" w:type="dxa"/>
            <w:shd w:val="clear" w:color="auto" w:fill="FBD4B4" w:themeFill="accent6" w:themeFillTint="66"/>
          </w:tcPr>
          <w:p w:rsidR="007C5222" w:rsidRDefault="007C5222" w:rsidP="007C5222">
            <w:pPr>
              <w:tabs>
                <w:tab w:val="left" w:pos="6300"/>
              </w:tabs>
              <w:jc w:val="center"/>
            </w:pPr>
            <w:r>
              <w:t>Support paid family leave/sick days</w:t>
            </w:r>
          </w:p>
        </w:tc>
        <w:tc>
          <w:tcPr>
            <w:tcW w:w="2083" w:type="dxa"/>
            <w:shd w:val="clear" w:color="auto" w:fill="C6D9F1" w:themeFill="text2" w:themeFillTint="33"/>
          </w:tcPr>
          <w:p w:rsidR="007C5222" w:rsidRDefault="007C5222" w:rsidP="007C5222">
            <w:pPr>
              <w:tabs>
                <w:tab w:val="left" w:pos="6300"/>
              </w:tabs>
              <w:jc w:val="center"/>
            </w:pPr>
            <w:r>
              <w:t>Infrastructure/public safety</w:t>
            </w:r>
          </w:p>
        </w:tc>
      </w:tr>
      <w:tr w:rsidR="00EE0B43" w:rsidTr="005C3E21">
        <w:tc>
          <w:tcPr>
            <w:tcW w:w="1854" w:type="dxa"/>
            <w:shd w:val="clear" w:color="auto" w:fill="C6D9F1" w:themeFill="text2" w:themeFillTint="33"/>
          </w:tcPr>
          <w:p w:rsidR="007C5222" w:rsidRDefault="007C5222" w:rsidP="007C5222">
            <w:pPr>
              <w:tabs>
                <w:tab w:val="left" w:pos="6300"/>
              </w:tabs>
              <w:jc w:val="center"/>
            </w:pPr>
            <w:r>
              <w:t>Affordable health care</w:t>
            </w:r>
          </w:p>
        </w:tc>
        <w:tc>
          <w:tcPr>
            <w:tcW w:w="1858" w:type="dxa"/>
            <w:shd w:val="clear" w:color="auto" w:fill="C6D9F1" w:themeFill="text2" w:themeFillTint="33"/>
          </w:tcPr>
          <w:p w:rsidR="007C5222" w:rsidRDefault="007C5222" w:rsidP="007C5222">
            <w:pPr>
              <w:tabs>
                <w:tab w:val="left" w:pos="6300"/>
              </w:tabs>
              <w:jc w:val="center"/>
            </w:pPr>
            <w:r>
              <w:t>Veterans and workforce training</w:t>
            </w:r>
          </w:p>
        </w:tc>
        <w:tc>
          <w:tcPr>
            <w:tcW w:w="1871" w:type="dxa"/>
            <w:shd w:val="clear" w:color="auto" w:fill="C6D9F1" w:themeFill="text2" w:themeFillTint="33"/>
          </w:tcPr>
          <w:p w:rsidR="007C5222" w:rsidRDefault="007C5222" w:rsidP="007C5222">
            <w:pPr>
              <w:tabs>
                <w:tab w:val="left" w:pos="6300"/>
              </w:tabs>
              <w:jc w:val="center"/>
            </w:pPr>
            <w:r>
              <w:t>End workplace discrimination</w:t>
            </w:r>
          </w:p>
        </w:tc>
        <w:tc>
          <w:tcPr>
            <w:tcW w:w="1910" w:type="dxa"/>
            <w:shd w:val="clear" w:color="auto" w:fill="C6D9F1" w:themeFill="text2" w:themeFillTint="33"/>
          </w:tcPr>
          <w:p w:rsidR="007C5222" w:rsidRDefault="007C5222" w:rsidP="007C5222">
            <w:pPr>
              <w:tabs>
                <w:tab w:val="left" w:pos="6300"/>
              </w:tabs>
              <w:jc w:val="center"/>
            </w:pPr>
            <w:r>
              <w:t>End sex violence on college campuses/military</w:t>
            </w:r>
          </w:p>
        </w:tc>
        <w:tc>
          <w:tcPr>
            <w:tcW w:w="2083" w:type="dxa"/>
            <w:shd w:val="clear" w:color="auto" w:fill="C6D9F1" w:themeFill="text2" w:themeFillTint="33"/>
          </w:tcPr>
          <w:p w:rsidR="007C5222" w:rsidRDefault="007C5222" w:rsidP="007C5222">
            <w:pPr>
              <w:tabs>
                <w:tab w:val="left" w:pos="6300"/>
              </w:tabs>
              <w:jc w:val="center"/>
            </w:pPr>
            <w:r>
              <w:t>Support for public education</w:t>
            </w:r>
          </w:p>
        </w:tc>
      </w:tr>
    </w:tbl>
    <w:p w:rsidR="00C72E5B" w:rsidRDefault="00C72E5B" w:rsidP="005C3E21">
      <w:pPr>
        <w:tabs>
          <w:tab w:val="left" w:pos="6300"/>
        </w:tabs>
      </w:pPr>
    </w:p>
    <w:p w:rsidR="005C3E21" w:rsidRDefault="005C3E21" w:rsidP="005C3E21">
      <w:pPr>
        <w:tabs>
          <w:tab w:val="left" w:pos="6300"/>
        </w:tabs>
      </w:pPr>
      <w:r>
        <w:t>Every time a state candidate mentions one of the key phrases on the BINGO Card, put a tally space on the card. Remember—he or she may use several of these phrases more than once—that’s a good thing! Put a new tally in the space each time she/he mentions that key phrase, and let’s see how many of our policy priorities overlap with the candidate’s agenda. At the end of the debate, add up the candidate’s BINGO scores to see how each scored on issues for women and their families. Here’s how:</w:t>
      </w:r>
    </w:p>
    <w:p w:rsidR="005C3E21" w:rsidRPr="008C69E7" w:rsidRDefault="005C3E21" w:rsidP="005C3E21">
      <w:pPr>
        <w:tabs>
          <w:tab w:val="left" w:pos="4980"/>
          <w:tab w:val="left" w:pos="5070"/>
        </w:tabs>
        <w:rPr>
          <w:b/>
        </w:rPr>
      </w:pPr>
      <w:r w:rsidRPr="008C69E7">
        <w:rPr>
          <w:b/>
        </w:rPr>
        <w:t>Outer Ring (blue) is worth 1 point per mention</w:t>
      </w:r>
      <w:r w:rsidRPr="008C69E7">
        <w:rPr>
          <w:b/>
        </w:rPr>
        <w:tab/>
      </w:r>
      <w:r w:rsidRPr="008C69E7">
        <w:rPr>
          <w:b/>
        </w:rPr>
        <w:tab/>
        <w:t xml:space="preserve"> </w:t>
      </w:r>
    </w:p>
    <w:p w:rsidR="005C3E21" w:rsidRPr="008C69E7" w:rsidRDefault="005C3E21" w:rsidP="005C3E21">
      <w:pPr>
        <w:tabs>
          <w:tab w:val="center" w:pos="4680"/>
        </w:tabs>
        <w:rPr>
          <w:b/>
        </w:rPr>
      </w:pPr>
      <w:r w:rsidRPr="008C69E7">
        <w:rPr>
          <w:b/>
        </w:rPr>
        <w:t>Inner Ring (red) is worth 3 points per mention</w:t>
      </w:r>
    </w:p>
    <w:p w:rsidR="005C3E21" w:rsidRPr="008C69E7" w:rsidRDefault="005C3E21" w:rsidP="005C3E21">
      <w:pPr>
        <w:tabs>
          <w:tab w:val="center" w:pos="4680"/>
        </w:tabs>
        <w:rPr>
          <w:b/>
        </w:rPr>
      </w:pPr>
      <w:r w:rsidRPr="008C69E7">
        <w:rPr>
          <w:b/>
        </w:rPr>
        <w:t>Center (green) is worth 2 points per mention</w:t>
      </w:r>
    </w:p>
    <w:p w:rsidR="005C3E21" w:rsidRPr="008C69E7" w:rsidRDefault="005C3E21" w:rsidP="005C3E21">
      <w:pPr>
        <w:tabs>
          <w:tab w:val="left" w:pos="6210"/>
        </w:tabs>
        <w:rPr>
          <w:b/>
        </w:rPr>
      </w:pPr>
      <w:r w:rsidRPr="008C69E7">
        <w:rPr>
          <w:b/>
        </w:rPr>
        <w:t>Scoring: &lt;40 points = D; 40-50 points = C; 50-75 points = B; 75-90 = A-; 90-100 = A</w:t>
      </w:r>
    </w:p>
    <w:p w:rsidR="005C3E21" w:rsidRPr="008C69E7" w:rsidRDefault="00A96942" w:rsidP="005C3E21">
      <w:pPr>
        <w:tabs>
          <w:tab w:val="left" w:pos="6210"/>
        </w:tabs>
        <w:rPr>
          <w:b/>
        </w:rPr>
      </w:pPr>
      <w:r>
        <w:rPr>
          <w:b/>
          <w:u w:val="single"/>
        </w:rPr>
        <w:t xml:space="preserve">Share </w:t>
      </w:r>
      <w:bookmarkStart w:id="0" w:name="_GoBack"/>
      <w:bookmarkEnd w:id="0"/>
      <w:r w:rsidR="005C3E21" w:rsidRPr="008C69E7">
        <w:rPr>
          <w:b/>
          <w:u w:val="single"/>
        </w:rPr>
        <w:t>your scores and reactions to the debates on Social Media</w:t>
      </w:r>
      <w:r w:rsidR="005C3E21" w:rsidRPr="008C69E7">
        <w:rPr>
          <w:b/>
        </w:rPr>
        <w:t>:</w:t>
      </w:r>
    </w:p>
    <w:p w:rsidR="005C3E21" w:rsidRDefault="005C3E21" w:rsidP="005C3E21">
      <w:pPr>
        <w:tabs>
          <w:tab w:val="left" w:pos="6210"/>
        </w:tabs>
      </w:pPr>
      <w:r>
        <w:t xml:space="preserve">Facebook: </w:t>
      </w:r>
      <w:hyperlink r:id="rId5" w:history="1">
        <w:r w:rsidRPr="00E46990">
          <w:rPr>
            <w:rStyle w:val="Hyperlink"/>
          </w:rPr>
          <w:t>https://www.facebook.com/aauw-new-mexi</w:t>
        </w:r>
        <w:r>
          <w:rPr>
            <w:rStyle w:val="Hyperlink"/>
          </w:rPr>
          <w:t>c</w:t>
        </w:r>
        <w:r w:rsidRPr="00E46990">
          <w:rPr>
            <w:rStyle w:val="Hyperlink"/>
          </w:rPr>
          <w:t>o</w:t>
        </w:r>
      </w:hyperlink>
      <w:r>
        <w:t>, Twitter: @AAUWNM, #</w:t>
      </w:r>
      <w:proofErr w:type="spellStart"/>
      <w:r>
        <w:t>ItsMyVote</w:t>
      </w:r>
      <w:proofErr w:type="spellEnd"/>
      <w:r>
        <w:tab/>
      </w:r>
    </w:p>
    <w:p w:rsidR="00146C7F" w:rsidRDefault="00146C7F" w:rsidP="00146C7F">
      <w:pPr>
        <w:tabs>
          <w:tab w:val="left" w:pos="6300"/>
        </w:tabs>
      </w:pPr>
    </w:p>
    <w:p w:rsidR="00146C7F" w:rsidRDefault="00146C7F"/>
    <w:sectPr w:rsidR="00146C7F" w:rsidSect="00F71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46C7F"/>
    <w:rsid w:val="00146C7F"/>
    <w:rsid w:val="005C3E21"/>
    <w:rsid w:val="00683286"/>
    <w:rsid w:val="007766B0"/>
    <w:rsid w:val="007C5222"/>
    <w:rsid w:val="00924C8C"/>
    <w:rsid w:val="00A96942"/>
    <w:rsid w:val="00C72E5B"/>
    <w:rsid w:val="00C8313A"/>
    <w:rsid w:val="00D54A9E"/>
    <w:rsid w:val="00EE0B43"/>
    <w:rsid w:val="00F71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79052E-6F52-4DDF-9934-05D0EC09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6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3E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aauw-new-mexio"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Helena Whyte</cp:lastModifiedBy>
  <cp:revision>3</cp:revision>
  <dcterms:created xsi:type="dcterms:W3CDTF">2014-10-16T22:11:00Z</dcterms:created>
  <dcterms:modified xsi:type="dcterms:W3CDTF">2014-10-17T01:28:00Z</dcterms:modified>
</cp:coreProperties>
</file>